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E8" w:rsidRPr="007B77E8" w:rsidRDefault="007B77E8" w:rsidP="007B77E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7B77E8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  <w:cs/>
        </w:rPr>
        <w:t>หมวด ๑๔</w:t>
      </w:r>
    </w:p>
    <w:p w:rsidR="007B77E8" w:rsidRPr="007B77E8" w:rsidRDefault="007B77E8" w:rsidP="007B77E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7B77E8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  <w:cs/>
        </w:rPr>
        <w:t>การปกครองส่วนท้องถิ่น</w:t>
      </w:r>
    </w:p>
    <w:p w:rsidR="007B77E8" w:rsidRPr="007B77E8" w:rsidRDefault="007B77E8" w:rsidP="007B77E8">
      <w:pPr>
        <w:shd w:val="clear" w:color="auto" w:fill="FFFFFF"/>
        <w:spacing w:before="120" w:after="120" w:line="240" w:lineRule="auto"/>
        <w:ind w:firstLine="480"/>
        <w:rPr>
          <w:rFonts w:ascii="TH SarabunIT๙" w:eastAsia="Times New Roman" w:hAnsi="TH SarabunIT๙" w:cs="TH SarabunIT๙"/>
          <w:color w:val="222222"/>
          <w:sz w:val="32"/>
          <w:szCs w:val="32"/>
        </w:rPr>
      </w:pPr>
    </w:p>
    <w:p w:rsidR="007B77E8" w:rsidRPr="007B77E8" w:rsidRDefault="007B77E8" w:rsidP="007B77E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7B77E8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  <w:cs/>
        </w:rPr>
        <w:t>มาตรา ๒๔๙</w:t>
      </w:r>
    </w:p>
    <w:p w:rsidR="007B77E8" w:rsidRPr="007B77E8" w:rsidRDefault="007B77E8" w:rsidP="007B77E8">
      <w:pPr>
        <w:shd w:val="clear" w:color="auto" w:fill="FFFFFF"/>
        <w:spacing w:before="120" w:after="120" w:line="240" w:lineRule="auto"/>
        <w:ind w:firstLine="480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7B77E8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ภายใต้บังคับมาตรา ๑ ให้มีการจัดการปกครองส่วนท้องถิ่นตามหลักแห่งการปกครองตนเองตามเจตนารมณ์ของประชาชนในท้องถิ่น ทั้งนี้ ตามวิธีการและรูปแบบองค์กรปกครองส่วนท้องถิ่นที่กฎหมายบัญญัติ</w:t>
      </w:r>
    </w:p>
    <w:p w:rsidR="007B77E8" w:rsidRPr="007B77E8" w:rsidRDefault="007B77E8" w:rsidP="007B77E8">
      <w:pPr>
        <w:shd w:val="clear" w:color="auto" w:fill="FFFFFF"/>
        <w:spacing w:before="120" w:after="120" w:line="240" w:lineRule="auto"/>
        <w:ind w:firstLine="480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7B77E8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การจัดตั้งองค์กรปกครองส่วนท้องถิ่นในรูปแบบใดให้คํานึงถึงเจตนารมณ์ของประชาชนในท้องถิ่นและความสามารถในการปกครองตนเองในด้านรายได้ จํานวนและความหนาแน่นของประชากร และพื้นที่ที่ต้องรับผิดชอบ ประกอบกัน</w:t>
      </w:r>
    </w:p>
    <w:p w:rsidR="007B77E8" w:rsidRPr="007B77E8" w:rsidRDefault="007B77E8" w:rsidP="007B77E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bookmarkStart w:id="0" w:name="_GoBack"/>
      <w:bookmarkEnd w:id="0"/>
      <w:r w:rsidRPr="007B77E8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  <w:cs/>
        </w:rPr>
        <w:t>มาตรา ๒๕๐</w:t>
      </w:r>
    </w:p>
    <w:p w:rsidR="007B77E8" w:rsidRPr="007B77E8" w:rsidRDefault="007B77E8" w:rsidP="007B77E8">
      <w:pPr>
        <w:shd w:val="clear" w:color="auto" w:fill="FFFFFF"/>
        <w:spacing w:before="120" w:after="120" w:line="240" w:lineRule="auto"/>
        <w:ind w:firstLine="480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7B77E8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องค์กรปกครองส่วนท้องถิ่นมีหน้าที่และอํานาจดูแลและจัดทําบริการสาธารณะและกิจกรรมสาธารณะเพื่อประโยชน์ของประชาชนในท้องถิ่นตามหลักการพัฒนาอย่างยั่งยืน รวมทั้งส่งเสริมและสนับสนุนการจัดการศึกษาให้แก่ประชาชนในท้องถิ่น ทั้งนี้ ตามที่กฎหมายบัญญัติ</w:t>
      </w:r>
    </w:p>
    <w:p w:rsidR="007B77E8" w:rsidRPr="007B77E8" w:rsidRDefault="007B77E8" w:rsidP="007B77E8">
      <w:pPr>
        <w:shd w:val="clear" w:color="auto" w:fill="FFFFFF"/>
        <w:spacing w:before="120" w:after="120" w:line="240" w:lineRule="auto"/>
        <w:ind w:firstLine="480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7B77E8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การจัดทําบริการสาธารณะและกิจกรรมสาธารณะใดที่สมควรให้เป็นหน้าที่และอํานาจโดยเฉพาะขององค์กรปกครองส่วนท้องถิ่นแต่ละรูปแบบ หรือให้องค์กรปกครองส่วนท้องถิ่นเป็นหน่วยงานหลักในการดําเนินการใด ให้เป็นไปตามที่กฎหมายบัญญัติซึ่งต้องสอดคล้องกับรายได้ขององค์กรปกครองส่วนท้องถิ่นตามวรรคสี่ และกฎหมายดังกล่าวอย่างน้อยต้องมีบทบัญญัติเกี่ยวกับกลไกและขั้นตอนในการกระจายหน้าที่และอํานาจ ตลอดจนงบประมาณและบุคลากรที่เกี่ยวกับหน้าที่และอํานาจดังกล่าวของส่วนราชการให้แก่องค์กรปกครองส่วนท้องถิ่นด้วย</w:t>
      </w:r>
    </w:p>
    <w:p w:rsidR="007B77E8" w:rsidRPr="007B77E8" w:rsidRDefault="007B77E8" w:rsidP="007B77E8">
      <w:pPr>
        <w:shd w:val="clear" w:color="auto" w:fill="FFFFFF"/>
        <w:spacing w:before="120" w:after="120" w:line="240" w:lineRule="auto"/>
        <w:ind w:firstLine="480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7B77E8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ในการจัดทําบริการสาธารณะหรือกิจกรรมสาธารณะใดที่เป็นหน้าที่และอํานาจขององค์กรปกครองส่วนท้องถิ่น ถ้าการร่วมดําเนินการกับเอกชนหรือหน่วยงานของรัฐหรือการมอบหมายให้เอกชนหรือหน่วยงานของรัฐดําเนินการ จะเป็นประโยชน์แก่ประชาชนในท้องถิ่นมากกว่าการที่องค์กรปกครองส่วนท้องถิ่นจะดําเนินการเอง องค์กรปกครองส่วนท้องถิ่นจะร่วมหรือมอบหมายให้เอกชนหรือหน่วยงานของรัฐดําเนินการนั้นก็ได้</w:t>
      </w:r>
    </w:p>
    <w:p w:rsidR="007B77E8" w:rsidRPr="007B77E8" w:rsidRDefault="007B77E8" w:rsidP="007B77E8">
      <w:pPr>
        <w:shd w:val="clear" w:color="auto" w:fill="FFFFFF"/>
        <w:spacing w:before="120" w:after="120" w:line="240" w:lineRule="auto"/>
        <w:ind w:firstLine="480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7B77E8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รัฐต้องดําเนินการให้องค์กรปกครองส่วนท้องถิ่นมีรายได้ของตนเองโดยจัดระบบภาษีหรือการจัดสรรภาษีที่เหมาะสม รวมทั้งส่งเสริมและพัฒนาการหารายได้ขององค์กรปกครองส่วนท้องถิ่น ทั้งนี้ เพื่อให้สามารถดําเนินการตามวรรคหนึ่งได้อย่างเพียงพอ ในระหว่างที่ยังไม่อาจดําเนินการได้ ให้รัฐจัดสรรงบประมาณเพื่อสนับสนุนองค์กรปกครองส่วนท้องถิ่นไปพลางก่อน</w:t>
      </w:r>
    </w:p>
    <w:p w:rsidR="007B77E8" w:rsidRPr="007B77E8" w:rsidRDefault="007B77E8" w:rsidP="007B77E8">
      <w:pPr>
        <w:shd w:val="clear" w:color="auto" w:fill="FFFFFF"/>
        <w:spacing w:before="120" w:after="120" w:line="240" w:lineRule="auto"/>
        <w:ind w:firstLine="480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7B77E8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กฎหมายตามวรรคหนึ่งและกฎหมายที่เกี่ยวกับการบริหารราชการส่วนท้องถิ่น ต้องให้องค์กรปกครองส่วนท้องถิ่นมีอิสระในการบริหาร การจัดทําบริการสาธารณะ การส่งเสริมและสนับสนุนการจัดการศึกษา การเงินและการคลัง และการกํากับดูแลองค์กรปกครองส่วนท้องถิ่นซึ่งต้องทําเพียงเท่าที่จําเป็นเพื่อการคุ้มครองประโยชน์ของประชาชนในท้องถิ่นหรือประโยชน์ของประเทศเป็นส่วนรวม การป้องกันการทุจริต และการใช้จ่ายเงินอย่างมีประสิทธิภาพ โดยคํานึงถึงความเหมาะสมและความแตกต่างขององค์กรปกครองส่วนท้องถิ่นแต่ละรูปแบบ และต้องมีบทบัญญัติเกี่ยวกับการป้องกันการขัดกันแห่งผลประโยชน์ และการป้องกันการก้าวก่ายการปฏิบัติหน้าที่ของข้าราชการส่วนท้องถิ่นด้วย</w:t>
      </w:r>
    </w:p>
    <w:p w:rsidR="007B77E8" w:rsidRPr="007B77E8" w:rsidRDefault="007B77E8" w:rsidP="007B77E8">
      <w:pPr>
        <w:shd w:val="clear" w:color="auto" w:fill="FFFFFF"/>
        <w:spacing w:before="120" w:after="120" w:line="240" w:lineRule="auto"/>
        <w:ind w:firstLine="480"/>
        <w:rPr>
          <w:rFonts w:ascii="TH SarabunIT๙" w:eastAsia="Times New Roman" w:hAnsi="TH SarabunIT๙" w:cs="TH SarabunIT๙"/>
          <w:color w:val="222222"/>
          <w:sz w:val="32"/>
          <w:szCs w:val="32"/>
        </w:rPr>
      </w:pPr>
    </w:p>
    <w:p w:rsidR="007B77E8" w:rsidRPr="007B77E8" w:rsidRDefault="007B77E8" w:rsidP="007B77E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7B77E8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  <w:cs/>
        </w:rPr>
        <w:t>มาตรา ๒๕๑</w:t>
      </w:r>
    </w:p>
    <w:p w:rsidR="007B77E8" w:rsidRPr="007B77E8" w:rsidRDefault="007B77E8" w:rsidP="007B77E8">
      <w:pPr>
        <w:shd w:val="clear" w:color="auto" w:fill="FFFFFF"/>
        <w:spacing w:before="120" w:after="120" w:line="240" w:lineRule="auto"/>
        <w:ind w:firstLine="480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7B77E8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การบริหารงานบุคคลขององค์กรปกครองส่วนท้องถิ่นให้เป็นไปตามที่กฎหมายบัญญัติ ซึ่งต้องใช้ระบบคุณธรรมและต้องคํานึงถึงความเหมาะสมและความจําเป็นของแต่ละท้องถิ่นและองค์กรปกครองส่วนท้องถิ่นแต่ละรูปแบบ การจัดให้มีมาตรฐานที่สอดคล้องกันเพื่อให้สามารถพัฒนาร่วมกันหรือการสับเปลี่ยนบุคลากรระหว่างองค์กรปกครองส่วนท้องถิ่นด้วยกันได้</w:t>
      </w:r>
    </w:p>
    <w:p w:rsidR="007B77E8" w:rsidRPr="007B77E8" w:rsidRDefault="007B77E8" w:rsidP="007B77E8">
      <w:pPr>
        <w:shd w:val="clear" w:color="auto" w:fill="FFFFFF"/>
        <w:spacing w:before="120" w:after="120" w:line="240" w:lineRule="auto"/>
        <w:ind w:firstLine="480"/>
        <w:rPr>
          <w:rFonts w:ascii="TH SarabunIT๙" w:eastAsia="Times New Roman" w:hAnsi="TH SarabunIT๙" w:cs="TH SarabunIT๙"/>
          <w:color w:val="222222"/>
          <w:sz w:val="32"/>
          <w:szCs w:val="32"/>
        </w:rPr>
      </w:pPr>
    </w:p>
    <w:p w:rsidR="007B77E8" w:rsidRPr="007B77E8" w:rsidRDefault="007B77E8" w:rsidP="007B77E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7B77E8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  <w:cs/>
        </w:rPr>
        <w:t>มาตรา ๒๕๒</w:t>
      </w:r>
    </w:p>
    <w:p w:rsidR="007B77E8" w:rsidRPr="007B77E8" w:rsidRDefault="007B77E8" w:rsidP="007B77E8">
      <w:pPr>
        <w:shd w:val="clear" w:color="auto" w:fill="FFFFFF"/>
        <w:spacing w:before="120" w:after="120" w:line="240" w:lineRule="auto"/>
        <w:ind w:firstLine="480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7B77E8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สมาชิกสภาท้องถิ่นต้องมาจากการเลือกตั้ง</w:t>
      </w:r>
    </w:p>
    <w:p w:rsidR="007B77E8" w:rsidRPr="007B77E8" w:rsidRDefault="007B77E8" w:rsidP="007B77E8">
      <w:pPr>
        <w:shd w:val="clear" w:color="auto" w:fill="FFFFFF"/>
        <w:spacing w:before="120" w:after="120" w:line="240" w:lineRule="auto"/>
        <w:ind w:firstLine="480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7B77E8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ผู้บริหารท้องถิ่นให้มาจากการเลือกตั้งหรือมาจากความเห็นชอบของสภาท้องถิ่นหรือในกรณีองค์กรปกครองส่วนท้องถิ่นรูปแบบพิเศษ จะให้มาโดยวิธีอื่นก็ได้ แต่ต้องคํานึงถึงการมีส่วนร่วมของประชาชนด้วย ทั้งนี้ ตามที่กฎหมายบัญญัติ</w:t>
      </w:r>
    </w:p>
    <w:p w:rsidR="007B77E8" w:rsidRPr="007B77E8" w:rsidRDefault="007B77E8" w:rsidP="007B77E8">
      <w:pPr>
        <w:shd w:val="clear" w:color="auto" w:fill="FFFFFF"/>
        <w:spacing w:before="120" w:after="120" w:line="240" w:lineRule="auto"/>
        <w:ind w:firstLine="480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7B77E8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คุณสมบัติของผู้มีสิทธิเลือกตั้งและผู้มีสิทธิสมัครรับเลือกตั้ง และหลักเกณฑ์และวิธีการเลือกตั้งสมาชิกสภาท้องถิ่นและผู้บริหารท้องถิ่น ให้เป็นไปตามที่กฎหมายบัญญัติ ซึ่งต้องคํานึงถึงเจตนารมณ์ในการป้องกันและปราบปรามการทุจริตตามแนวทางที่บัญญัติไว้ในรัฐธรรมนูญด้วย</w:t>
      </w:r>
    </w:p>
    <w:p w:rsidR="007B77E8" w:rsidRPr="007B77E8" w:rsidRDefault="007B77E8" w:rsidP="007B77E8">
      <w:pPr>
        <w:shd w:val="clear" w:color="auto" w:fill="FFFFFF"/>
        <w:spacing w:before="120" w:after="120" w:line="240" w:lineRule="auto"/>
        <w:ind w:firstLine="480"/>
        <w:rPr>
          <w:rFonts w:ascii="TH SarabunIT๙" w:eastAsia="Times New Roman" w:hAnsi="TH SarabunIT๙" w:cs="TH SarabunIT๙"/>
          <w:color w:val="222222"/>
          <w:sz w:val="32"/>
          <w:szCs w:val="32"/>
        </w:rPr>
      </w:pPr>
    </w:p>
    <w:p w:rsidR="007B77E8" w:rsidRPr="007B77E8" w:rsidRDefault="007B77E8" w:rsidP="007B77E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7B77E8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  <w:cs/>
        </w:rPr>
        <w:t>มาตรา ๒๕๓</w:t>
      </w:r>
    </w:p>
    <w:p w:rsidR="007B77E8" w:rsidRPr="007B77E8" w:rsidRDefault="007B77E8" w:rsidP="007B77E8">
      <w:pPr>
        <w:shd w:val="clear" w:color="auto" w:fill="FFFFFF"/>
        <w:spacing w:before="120" w:after="120" w:line="240" w:lineRule="auto"/>
        <w:ind w:firstLine="480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7B77E8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ในการดําเนินงาน ให้องค์กรปกครองส่วนท้องถิ่น สภาท้องถิ่น และผู้บริหารท้องถิ่นเปิดเผยข้อมูลและรายงานผลการดําเนินงานให้ประชาชนทราบ รวมตลอดทั้งมีกลไกให้ประชาชนในท้องถิ่นมีส่วนร่วมด้วย ทั้งนี้ ตามหลักเกณฑ์และวิธีการที่กฎหมายบัญญัติ</w:t>
      </w:r>
    </w:p>
    <w:p w:rsidR="007B77E8" w:rsidRPr="007B77E8" w:rsidRDefault="007B77E8" w:rsidP="007B77E8">
      <w:pPr>
        <w:shd w:val="clear" w:color="auto" w:fill="FFFFFF"/>
        <w:spacing w:before="120" w:after="120" w:line="240" w:lineRule="auto"/>
        <w:ind w:firstLine="480"/>
        <w:rPr>
          <w:rFonts w:ascii="TH SarabunIT๙" w:eastAsia="Times New Roman" w:hAnsi="TH SarabunIT๙" w:cs="TH SarabunIT๙"/>
          <w:color w:val="222222"/>
          <w:sz w:val="32"/>
          <w:szCs w:val="32"/>
        </w:rPr>
      </w:pPr>
    </w:p>
    <w:p w:rsidR="007B77E8" w:rsidRPr="007B77E8" w:rsidRDefault="007B77E8" w:rsidP="007B77E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7B77E8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  <w:cs/>
        </w:rPr>
        <w:t>มาตรา ๒๕๔</w:t>
      </w:r>
    </w:p>
    <w:p w:rsidR="007B77E8" w:rsidRPr="007B77E8" w:rsidRDefault="007B77E8" w:rsidP="007B77E8">
      <w:pPr>
        <w:shd w:val="clear" w:color="auto" w:fill="FFFFFF"/>
        <w:spacing w:before="120" w:after="120" w:line="240" w:lineRule="auto"/>
        <w:ind w:firstLine="480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7B77E8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ประชาชนผู้มีสิทธิเลือกตั้งในองค์กรปกครองส่วนท้องถิ่นมีสิทธิเข้าชื่อกันเพื่อเสนอข้อบัญญัติหรือเพื่อถอดถอนสมาชิกสภาท้องถิ่น หรือผู้บริหารท้องถิ่นได้ตามหลักเกณฑ์ วิธีการ และเงื่อนไขที่กฎหมายบัญญัติ</w:t>
      </w:r>
    </w:p>
    <w:p w:rsidR="00AB151E" w:rsidRPr="007B77E8" w:rsidRDefault="00AB151E">
      <w:pPr>
        <w:rPr>
          <w:rFonts w:ascii="TH SarabunIT๙" w:hAnsi="TH SarabunIT๙" w:cs="TH SarabunIT๙"/>
          <w:sz w:val="32"/>
          <w:szCs w:val="32"/>
        </w:rPr>
      </w:pPr>
    </w:p>
    <w:sectPr w:rsidR="00AB151E" w:rsidRPr="007B7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E8"/>
    <w:rsid w:val="007B77E8"/>
    <w:rsid w:val="00AB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 COM</dc:creator>
  <cp:lastModifiedBy>PM  COM</cp:lastModifiedBy>
  <cp:revision>1</cp:revision>
  <dcterms:created xsi:type="dcterms:W3CDTF">2018-10-31T04:25:00Z</dcterms:created>
  <dcterms:modified xsi:type="dcterms:W3CDTF">2018-10-31T04:25:00Z</dcterms:modified>
</cp:coreProperties>
</file>